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37" w:rsidRPr="00716437" w:rsidRDefault="00716437" w:rsidP="00716437">
      <w:pPr>
        <w:pStyle w:val="Header"/>
        <w:jc w:val="center"/>
        <w:rPr>
          <w:rFonts w:ascii="Garamond" w:hAnsi="Garamond"/>
          <w:b/>
          <w:color w:val="8BB466"/>
          <w:sz w:val="44"/>
        </w:rPr>
      </w:pPr>
      <w:bookmarkStart w:id="0" w:name="_GoBack"/>
      <w:bookmarkEnd w:id="0"/>
      <w:r w:rsidRPr="00716437">
        <w:rPr>
          <w:rFonts w:ascii="Garamond" w:hAnsi="Garamond"/>
          <w:b/>
          <w:color w:val="8BB466"/>
          <w:sz w:val="56"/>
        </w:rPr>
        <w:t>What is Roth 401(k)</w:t>
      </w:r>
      <w:r w:rsidRPr="00716437">
        <w:rPr>
          <w:rFonts w:ascii="Garamond" w:hAnsi="Garamond"/>
          <w:b/>
          <w:color w:val="8BB466"/>
          <w:sz w:val="44"/>
        </w:rPr>
        <w:t xml:space="preserve"> </w:t>
      </w:r>
      <w:r>
        <w:rPr>
          <w:rFonts w:ascii="Garamond" w:hAnsi="Garamond"/>
          <w:b/>
          <w:color w:val="8BB466"/>
          <w:sz w:val="44"/>
        </w:rPr>
        <w:br/>
      </w:r>
      <w:proofErr w:type="gramStart"/>
      <w:r w:rsidR="001F6B55">
        <w:rPr>
          <w:rFonts w:ascii="Garamond" w:hAnsi="Garamond"/>
          <w:b/>
          <w:color w:val="8BB466"/>
          <w:sz w:val="44"/>
        </w:rPr>
        <w:t>A</w:t>
      </w:r>
      <w:r w:rsidRPr="00716437">
        <w:rPr>
          <w:rFonts w:ascii="Garamond" w:hAnsi="Garamond"/>
          <w:b/>
          <w:color w:val="8BB466"/>
          <w:sz w:val="44"/>
        </w:rPr>
        <w:t>nd</w:t>
      </w:r>
      <w:proofErr w:type="gramEnd"/>
      <w:r w:rsidRPr="00716437">
        <w:rPr>
          <w:rFonts w:ascii="Garamond" w:hAnsi="Garamond"/>
          <w:b/>
          <w:color w:val="8BB466"/>
          <w:sz w:val="44"/>
        </w:rPr>
        <w:t xml:space="preserve"> is it Right </w:t>
      </w:r>
      <w:r w:rsidR="001F6B55">
        <w:rPr>
          <w:rFonts w:ascii="Garamond" w:hAnsi="Garamond"/>
          <w:b/>
          <w:color w:val="8BB466"/>
          <w:sz w:val="44"/>
        </w:rPr>
        <w:t>F</w:t>
      </w:r>
      <w:r w:rsidRPr="00716437">
        <w:rPr>
          <w:rFonts w:ascii="Garamond" w:hAnsi="Garamond"/>
          <w:b/>
          <w:color w:val="8BB466"/>
          <w:sz w:val="44"/>
        </w:rPr>
        <w:t>or Me?</w:t>
      </w:r>
    </w:p>
    <w:p w:rsidR="00716437" w:rsidRPr="00716437" w:rsidRDefault="00716437" w:rsidP="001F6B55">
      <w:pPr>
        <w:ind w:left="0"/>
      </w:pPr>
    </w:p>
    <w:p w:rsidR="00716437" w:rsidRDefault="00716437" w:rsidP="00716437">
      <w:pPr>
        <w:rPr>
          <w:b/>
          <w:color w:val="8BB466"/>
        </w:rPr>
      </w:pPr>
      <w:r w:rsidRPr="00716437">
        <w:rPr>
          <w:b/>
          <w:color w:val="8BB466"/>
        </w:rPr>
        <w:t>Roth 401(k) Basics</w:t>
      </w:r>
    </w:p>
    <w:p w:rsidR="00716437" w:rsidRPr="001F6B55" w:rsidRDefault="00C7203D" w:rsidP="001F6B55">
      <w:pPr>
        <w:rPr>
          <w:color w:val="000000" w:themeColor="text1"/>
        </w:rPr>
      </w:pPr>
      <w:r w:rsidRPr="00C7203D">
        <w:rPr>
          <w:color w:val="000000" w:themeColor="text1"/>
        </w:rPr>
        <w:t>Elective deferral contributions to a traditional retirement plan are contribu</w:t>
      </w:r>
      <w:r>
        <w:rPr>
          <w:color w:val="000000" w:themeColor="text1"/>
        </w:rPr>
        <w:t xml:space="preserve">ted on a pre-tax basis and help </w:t>
      </w:r>
      <w:r w:rsidRPr="00C7203D">
        <w:rPr>
          <w:color w:val="000000" w:themeColor="text1"/>
        </w:rPr>
        <w:t>lower your current taxable income. Roth elective deferral contributions, ho</w:t>
      </w:r>
      <w:r>
        <w:rPr>
          <w:color w:val="000000" w:themeColor="text1"/>
        </w:rPr>
        <w:t xml:space="preserve">wever, are much like a Roth IRA </w:t>
      </w:r>
      <w:r w:rsidRPr="00C7203D">
        <w:rPr>
          <w:color w:val="000000" w:themeColor="text1"/>
        </w:rPr>
        <w:t xml:space="preserve">in that contributions are made on an after-tax basis. </w:t>
      </w:r>
      <w:r w:rsidR="001F6B55">
        <w:rPr>
          <w:color w:val="000000" w:themeColor="text1"/>
        </w:rPr>
        <w:t xml:space="preserve"> </w:t>
      </w:r>
      <w:r w:rsidR="00716437">
        <w:t xml:space="preserve">Money in the Roth account and earnings will be distributed tax free if withdrawn after age 59½, death, disability, AND at the end of the 5-year taxable period during which the participant’s deferral is first deposited to the Roth 401(k) account (a.k.a. the Five Year Rule). A Roth 401(k) account can be rolled over to another plan that permits Roth 401(k) contributions or to a Roth IRA. If rolled into a Roth IRA, the tax-free nature remains and the money is not subject to the minimum distribution requirement at age 70½ as in the Roth 401(k).  </w:t>
      </w:r>
    </w:p>
    <w:p w:rsidR="00716437" w:rsidRDefault="00716437" w:rsidP="00716437"/>
    <w:p w:rsidR="00716437" w:rsidRPr="00C7203D" w:rsidRDefault="00C7203D" w:rsidP="00716437">
      <w:pPr>
        <w:rPr>
          <w:b/>
          <w:color w:val="8BB466"/>
        </w:rPr>
      </w:pPr>
      <w:r w:rsidRPr="00C7203D">
        <w:rPr>
          <w:b/>
          <w:color w:val="8BB466"/>
        </w:rPr>
        <w:t xml:space="preserve">Who </w:t>
      </w:r>
      <w:r w:rsidR="00897949">
        <w:rPr>
          <w:b/>
          <w:color w:val="8BB466"/>
        </w:rPr>
        <w:t>Would</w:t>
      </w:r>
      <w:r w:rsidRPr="00C7203D">
        <w:rPr>
          <w:b/>
          <w:color w:val="8BB466"/>
        </w:rPr>
        <w:t xml:space="preserve"> </w:t>
      </w:r>
      <w:r>
        <w:rPr>
          <w:b/>
          <w:color w:val="8BB466"/>
        </w:rPr>
        <w:t>L</w:t>
      </w:r>
      <w:r w:rsidRPr="00C7203D">
        <w:rPr>
          <w:b/>
          <w:color w:val="8BB466"/>
        </w:rPr>
        <w:t xml:space="preserve">ikely </w:t>
      </w:r>
      <w:r>
        <w:rPr>
          <w:b/>
          <w:color w:val="8BB466"/>
        </w:rPr>
        <w:t>B</w:t>
      </w:r>
      <w:r w:rsidRPr="00C7203D">
        <w:rPr>
          <w:b/>
          <w:color w:val="8BB466"/>
        </w:rPr>
        <w:t>enefit?</w:t>
      </w:r>
    </w:p>
    <w:p w:rsidR="00C7203D" w:rsidRPr="00C7203D" w:rsidRDefault="00C7203D" w:rsidP="00C7203D">
      <w:pPr>
        <w:pStyle w:val="ListParagraph"/>
        <w:numPr>
          <w:ilvl w:val="0"/>
          <w:numId w:val="2"/>
        </w:numPr>
      </w:pPr>
      <w:r w:rsidRPr="00C7203D">
        <w:t>People who believe taxes will be greater in the future</w:t>
      </w:r>
    </w:p>
    <w:p w:rsidR="00C7203D" w:rsidRPr="00C7203D" w:rsidRDefault="00C7203D" w:rsidP="00C7203D">
      <w:pPr>
        <w:pStyle w:val="ListParagraph"/>
        <w:numPr>
          <w:ilvl w:val="0"/>
          <w:numId w:val="2"/>
        </w:numPr>
      </w:pPr>
      <w:r w:rsidRPr="00C7203D">
        <w:t>Young investors who believe they will be in a higher tax bracket in the future</w:t>
      </w:r>
    </w:p>
    <w:p w:rsidR="00C7203D" w:rsidRPr="00C7203D" w:rsidRDefault="00C7203D" w:rsidP="00C7203D">
      <w:pPr>
        <w:pStyle w:val="ListParagraph"/>
        <w:numPr>
          <w:ilvl w:val="0"/>
          <w:numId w:val="2"/>
        </w:numPr>
      </w:pPr>
      <w:r w:rsidRPr="00C7203D">
        <w:t>Investors who do not qualify for the Roth IRA</w:t>
      </w:r>
      <w:r w:rsidR="001F6B55">
        <w:t xml:space="preserve"> due to income limit</w:t>
      </w:r>
    </w:p>
    <w:p w:rsidR="00C7203D" w:rsidRPr="00C7203D" w:rsidRDefault="00C7203D" w:rsidP="00C7203D">
      <w:pPr>
        <w:pStyle w:val="ListParagraph"/>
        <w:numPr>
          <w:ilvl w:val="0"/>
          <w:numId w:val="2"/>
        </w:numPr>
      </w:pPr>
      <w:r w:rsidRPr="00C7203D">
        <w:t>Low income investors who are tax-exempt</w:t>
      </w:r>
    </w:p>
    <w:p w:rsidR="001F6B55" w:rsidRDefault="001F6B55" w:rsidP="001F6B55">
      <w:pPr>
        <w:pStyle w:val="ListParagraph"/>
        <w:numPr>
          <w:ilvl w:val="0"/>
          <w:numId w:val="2"/>
        </w:numPr>
      </w:pPr>
      <w:r>
        <w:t>Investor</w:t>
      </w:r>
      <w:r w:rsidR="00C7203D" w:rsidRPr="00C7203D">
        <w:t>s who use Roth 401(k) as a planning too</w:t>
      </w:r>
      <w:r>
        <w:t>l</w:t>
      </w:r>
      <w:r w:rsidR="00C7203D" w:rsidRPr="00C7203D">
        <w:t xml:space="preserve"> in conjunction with traditional 401(k) plans</w:t>
      </w:r>
    </w:p>
    <w:p w:rsidR="00716437" w:rsidRDefault="00C7203D" w:rsidP="001F6B55">
      <w:pPr>
        <w:pStyle w:val="ListParagraph"/>
        <w:numPr>
          <w:ilvl w:val="0"/>
          <w:numId w:val="2"/>
        </w:numPr>
      </w:pPr>
      <w:r w:rsidRPr="00C7203D">
        <w:t>Allows participants to “hedge” against risk of higher future tax rates</w:t>
      </w:r>
    </w:p>
    <w:p w:rsidR="001F6B55" w:rsidRDefault="001F6B55" w:rsidP="001F6B55"/>
    <w:p w:rsidR="001F6B55" w:rsidRDefault="001F6B55" w:rsidP="001F6B55">
      <w:pPr>
        <w:rPr>
          <w:b/>
          <w:color w:val="8BB466"/>
        </w:rPr>
      </w:pPr>
      <w:r w:rsidRPr="00C7203D">
        <w:rPr>
          <w:b/>
          <w:color w:val="8BB466"/>
        </w:rPr>
        <w:t xml:space="preserve">Who </w:t>
      </w:r>
      <w:r w:rsidR="00897949">
        <w:rPr>
          <w:b/>
          <w:color w:val="8BB466"/>
        </w:rPr>
        <w:t>W</w:t>
      </w:r>
      <w:r>
        <w:rPr>
          <w:b/>
          <w:color w:val="8BB466"/>
        </w:rPr>
        <w:t>ould Likely Not</w:t>
      </w:r>
      <w:r w:rsidRPr="00C7203D">
        <w:rPr>
          <w:b/>
          <w:color w:val="8BB466"/>
        </w:rPr>
        <w:t xml:space="preserve"> </w:t>
      </w:r>
      <w:r>
        <w:rPr>
          <w:b/>
          <w:color w:val="8BB466"/>
        </w:rPr>
        <w:t>B</w:t>
      </w:r>
      <w:r w:rsidRPr="00C7203D">
        <w:rPr>
          <w:b/>
          <w:color w:val="8BB466"/>
        </w:rPr>
        <w:t>enefit?</w:t>
      </w:r>
    </w:p>
    <w:p w:rsidR="001F6B55" w:rsidRPr="00C7203D" w:rsidRDefault="001F6B55" w:rsidP="001F6B55">
      <w:pPr>
        <w:pStyle w:val="ListParagraph"/>
        <w:numPr>
          <w:ilvl w:val="0"/>
          <w:numId w:val="2"/>
        </w:numPr>
      </w:pPr>
      <w:r w:rsidRPr="00C7203D">
        <w:t xml:space="preserve">People </w:t>
      </w:r>
      <w:r>
        <w:t>certain that future tax rates will decrease</w:t>
      </w:r>
    </w:p>
    <w:p w:rsidR="001F6B55" w:rsidRPr="00C7203D" w:rsidRDefault="001F6B55" w:rsidP="001F6B55">
      <w:pPr>
        <w:pStyle w:val="ListParagraph"/>
        <w:numPr>
          <w:ilvl w:val="0"/>
          <w:numId w:val="2"/>
        </w:numPr>
      </w:pPr>
      <w:r>
        <w:t>People expecting to experience significant drop in income upon retirement</w:t>
      </w:r>
    </w:p>
    <w:p w:rsidR="001F6B55" w:rsidRPr="00C7203D" w:rsidRDefault="001F6B55" w:rsidP="001F6B55">
      <w:pPr>
        <w:pStyle w:val="ListParagraph"/>
        <w:numPr>
          <w:ilvl w:val="0"/>
          <w:numId w:val="2"/>
        </w:numPr>
      </w:pPr>
      <w:r>
        <w:t>People with high temporary income</w:t>
      </w:r>
    </w:p>
    <w:p w:rsidR="001F6B55" w:rsidRPr="00C7203D" w:rsidRDefault="001F6B55" w:rsidP="001F6B55">
      <w:pPr>
        <w:pStyle w:val="ListParagraph"/>
        <w:numPr>
          <w:ilvl w:val="0"/>
          <w:numId w:val="2"/>
        </w:numPr>
      </w:pPr>
      <w:r>
        <w:t>People needing access to their funds within the first 5 years of de</w:t>
      </w:r>
      <w:r w:rsidR="00897949">
        <w:t>fe</w:t>
      </w:r>
      <w:r>
        <w:t>rrals</w:t>
      </w:r>
    </w:p>
    <w:p w:rsidR="00C7203D" w:rsidRDefault="00C7203D" w:rsidP="00716437"/>
    <w:p w:rsidR="00897949" w:rsidRDefault="00897949" w:rsidP="00716437"/>
    <w:tbl>
      <w:tblPr>
        <w:tblW w:w="8805" w:type="dxa"/>
        <w:jc w:val="center"/>
        <w:tblCellSpacing w:w="0" w:type="dxa"/>
        <w:tblBorders>
          <w:top w:val="single" w:sz="4" w:space="0" w:color="8BB466"/>
          <w:left w:val="single" w:sz="4" w:space="0" w:color="8BB466"/>
          <w:bottom w:val="single" w:sz="4" w:space="0" w:color="8BB466"/>
          <w:right w:val="single" w:sz="4" w:space="0" w:color="8BB466"/>
          <w:insideH w:val="single" w:sz="2" w:space="0" w:color="8BB466"/>
          <w:insideV w:val="single" w:sz="2" w:space="0" w:color="8BB4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3"/>
        <w:gridCol w:w="2756"/>
        <w:gridCol w:w="2756"/>
      </w:tblGrid>
      <w:tr w:rsidR="00716437" w:rsidRPr="00716437" w:rsidTr="00716437">
        <w:trPr>
          <w:trHeight w:val="286"/>
          <w:tblCellSpacing w:w="0" w:type="dxa"/>
          <w:jc w:val="center"/>
        </w:trPr>
        <w:tc>
          <w:tcPr>
            <w:tcW w:w="3293" w:type="dxa"/>
            <w:shd w:val="clear" w:color="auto" w:fill="8BB466"/>
          </w:tcPr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4"/>
              </w:rPr>
            </w:pPr>
            <w:r w:rsidRPr="00716437">
              <w:rPr>
                <w:rFonts w:eastAsia="Times New Roman" w:cstheme="minorHAnsi"/>
                <w:b/>
                <w:color w:val="FFFFFF" w:themeColor="background1"/>
                <w:sz w:val="20"/>
                <w:szCs w:val="24"/>
              </w:rPr>
              <w:tab/>
            </w:r>
          </w:p>
        </w:tc>
        <w:tc>
          <w:tcPr>
            <w:tcW w:w="2756" w:type="dxa"/>
            <w:shd w:val="clear" w:color="auto" w:fill="8BB466"/>
            <w:vAlign w:val="center"/>
          </w:tcPr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</w:rPr>
            </w:pPr>
            <w:r w:rsidRPr="0071643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8"/>
              </w:rPr>
              <w:t>Traditional 401(k)</w:t>
            </w:r>
          </w:p>
        </w:tc>
        <w:tc>
          <w:tcPr>
            <w:tcW w:w="2756" w:type="dxa"/>
            <w:shd w:val="clear" w:color="auto" w:fill="8BB466"/>
            <w:vAlign w:val="center"/>
          </w:tcPr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</w:rPr>
            </w:pPr>
            <w:r w:rsidRPr="00716437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8"/>
              </w:rPr>
              <w:t>Roth 401(k)</w:t>
            </w:r>
          </w:p>
        </w:tc>
      </w:tr>
      <w:tr w:rsidR="00716437" w:rsidRPr="00716437" w:rsidTr="00716437">
        <w:trPr>
          <w:trHeight w:val="256"/>
          <w:tblCellSpacing w:w="0" w:type="dxa"/>
          <w:jc w:val="center"/>
        </w:trPr>
        <w:tc>
          <w:tcPr>
            <w:tcW w:w="3293" w:type="dxa"/>
            <w:tcBorders>
              <w:bottom w:val="single" w:sz="4" w:space="0" w:color="8BB466"/>
              <w:right w:val="nil"/>
            </w:tcBorders>
            <w:shd w:val="clear" w:color="auto" w:fill="CEDFBF"/>
            <w:vAlign w:val="center"/>
          </w:tcPr>
          <w:p w:rsidR="00716437" w:rsidRPr="00716437" w:rsidRDefault="00716437" w:rsidP="00716437">
            <w:pPr>
              <w:ind w:left="0" w:right="0"/>
              <w:rPr>
                <w:rFonts w:eastAsia="Times New Roman" w:cstheme="minorHAnsi"/>
                <w:color w:val="000000" w:themeColor="text1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color w:val="000000" w:themeColor="text1"/>
                <w:sz w:val="20"/>
                <w:szCs w:val="16"/>
              </w:rPr>
              <w:t xml:space="preserve"> Tax treatment of deferrals</w:t>
            </w:r>
          </w:p>
        </w:tc>
        <w:tc>
          <w:tcPr>
            <w:tcW w:w="2756" w:type="dxa"/>
            <w:tcBorders>
              <w:left w:val="nil"/>
              <w:bottom w:val="single" w:sz="4" w:space="0" w:color="8BB466"/>
              <w:right w:val="single" w:sz="4" w:space="0" w:color="8BB466"/>
            </w:tcBorders>
            <w:vAlign w:val="center"/>
          </w:tcPr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>Before tax</w:t>
            </w:r>
          </w:p>
        </w:tc>
        <w:tc>
          <w:tcPr>
            <w:tcW w:w="2756" w:type="dxa"/>
            <w:tcBorders>
              <w:left w:val="single" w:sz="4" w:space="0" w:color="8BB466"/>
              <w:bottom w:val="single" w:sz="4" w:space="0" w:color="8BB466"/>
            </w:tcBorders>
            <w:vAlign w:val="center"/>
          </w:tcPr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>After-tax</w:t>
            </w:r>
          </w:p>
        </w:tc>
      </w:tr>
      <w:tr w:rsidR="00716437" w:rsidRPr="00716437" w:rsidTr="00716437">
        <w:trPr>
          <w:trHeight w:val="256"/>
          <w:tblCellSpacing w:w="0" w:type="dxa"/>
          <w:jc w:val="center"/>
        </w:trPr>
        <w:tc>
          <w:tcPr>
            <w:tcW w:w="3293" w:type="dxa"/>
            <w:tcBorders>
              <w:top w:val="single" w:sz="4" w:space="0" w:color="8BB466"/>
              <w:bottom w:val="single" w:sz="4" w:space="0" w:color="8BB466"/>
              <w:right w:val="nil"/>
            </w:tcBorders>
            <w:shd w:val="clear" w:color="auto" w:fill="CEDFBF"/>
            <w:vAlign w:val="center"/>
          </w:tcPr>
          <w:p w:rsidR="00716437" w:rsidRPr="00716437" w:rsidRDefault="00716437" w:rsidP="00716437">
            <w:pPr>
              <w:ind w:left="0" w:right="0"/>
              <w:rPr>
                <w:rFonts w:eastAsia="Times New Roman" w:cstheme="minorHAnsi"/>
                <w:color w:val="000000" w:themeColor="text1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color w:val="000000" w:themeColor="text1"/>
                <w:sz w:val="20"/>
                <w:szCs w:val="16"/>
              </w:rPr>
              <w:t xml:space="preserve"> Tax treatment of earnings</w:t>
            </w:r>
          </w:p>
        </w:tc>
        <w:tc>
          <w:tcPr>
            <w:tcW w:w="2756" w:type="dxa"/>
            <w:tcBorders>
              <w:top w:val="single" w:sz="4" w:space="0" w:color="8BB466"/>
              <w:left w:val="nil"/>
              <w:bottom w:val="single" w:sz="4" w:space="0" w:color="8BB466"/>
              <w:right w:val="single" w:sz="4" w:space="0" w:color="8BB466"/>
            </w:tcBorders>
            <w:vAlign w:val="center"/>
          </w:tcPr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>Tax-deferred</w:t>
            </w:r>
          </w:p>
        </w:tc>
        <w:tc>
          <w:tcPr>
            <w:tcW w:w="2756" w:type="dxa"/>
            <w:tcBorders>
              <w:top w:val="single" w:sz="4" w:space="0" w:color="8BB466"/>
              <w:left w:val="single" w:sz="4" w:space="0" w:color="8BB466"/>
              <w:bottom w:val="single" w:sz="4" w:space="0" w:color="8BB466"/>
            </w:tcBorders>
            <w:vAlign w:val="center"/>
          </w:tcPr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>Tax-free</w:t>
            </w:r>
          </w:p>
        </w:tc>
      </w:tr>
      <w:tr w:rsidR="00716437" w:rsidRPr="00716437" w:rsidTr="00716437">
        <w:trPr>
          <w:trHeight w:val="421"/>
          <w:tblCellSpacing w:w="0" w:type="dxa"/>
          <w:jc w:val="center"/>
        </w:trPr>
        <w:tc>
          <w:tcPr>
            <w:tcW w:w="3293" w:type="dxa"/>
            <w:tcBorders>
              <w:top w:val="single" w:sz="4" w:space="0" w:color="8BB466"/>
              <w:bottom w:val="single" w:sz="4" w:space="0" w:color="8BB466"/>
              <w:right w:val="nil"/>
            </w:tcBorders>
            <w:shd w:val="clear" w:color="auto" w:fill="CEDFBF"/>
            <w:vAlign w:val="center"/>
          </w:tcPr>
          <w:p w:rsidR="00716437" w:rsidRPr="00716437" w:rsidRDefault="00716437" w:rsidP="00716437">
            <w:pPr>
              <w:ind w:left="0" w:right="0"/>
              <w:rPr>
                <w:rFonts w:eastAsia="Times New Roman" w:cstheme="minorHAnsi"/>
                <w:color w:val="000000" w:themeColor="text1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color w:val="000000" w:themeColor="text1"/>
                <w:sz w:val="20"/>
                <w:szCs w:val="16"/>
              </w:rPr>
              <w:t xml:space="preserve"> Tax treatment of final distributions</w:t>
            </w:r>
          </w:p>
        </w:tc>
        <w:tc>
          <w:tcPr>
            <w:tcW w:w="2756" w:type="dxa"/>
            <w:tcBorders>
              <w:top w:val="single" w:sz="4" w:space="0" w:color="8BB466"/>
              <w:left w:val="nil"/>
              <w:bottom w:val="single" w:sz="4" w:space="0" w:color="8BB466"/>
              <w:right w:val="single" w:sz="4" w:space="0" w:color="8BB466"/>
            </w:tcBorders>
            <w:vAlign w:val="center"/>
          </w:tcPr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 xml:space="preserve">Taxable at ordinary </w:t>
            </w:r>
          </w:p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>income tax rates</w:t>
            </w:r>
          </w:p>
        </w:tc>
        <w:tc>
          <w:tcPr>
            <w:tcW w:w="2756" w:type="dxa"/>
            <w:tcBorders>
              <w:top w:val="single" w:sz="4" w:space="0" w:color="8BB466"/>
              <w:left w:val="single" w:sz="4" w:space="0" w:color="8BB466"/>
              <w:bottom w:val="single" w:sz="4" w:space="0" w:color="8BB466"/>
            </w:tcBorders>
            <w:vAlign w:val="center"/>
          </w:tcPr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>Tax-free</w:t>
            </w:r>
          </w:p>
        </w:tc>
      </w:tr>
      <w:tr w:rsidR="00716437" w:rsidRPr="00716437" w:rsidTr="00716437">
        <w:trPr>
          <w:trHeight w:val="421"/>
          <w:tblCellSpacing w:w="0" w:type="dxa"/>
          <w:jc w:val="center"/>
        </w:trPr>
        <w:tc>
          <w:tcPr>
            <w:tcW w:w="3293" w:type="dxa"/>
            <w:tcBorders>
              <w:top w:val="single" w:sz="4" w:space="0" w:color="8BB466"/>
              <w:bottom w:val="single" w:sz="4" w:space="0" w:color="8BB466"/>
              <w:right w:val="nil"/>
            </w:tcBorders>
            <w:shd w:val="clear" w:color="auto" w:fill="CEDFBF"/>
            <w:vAlign w:val="center"/>
          </w:tcPr>
          <w:p w:rsidR="00716437" w:rsidRPr="00716437" w:rsidRDefault="001F6B55" w:rsidP="001F6B55">
            <w:pPr>
              <w:ind w:left="0" w:right="0"/>
              <w:rPr>
                <w:rFonts w:eastAsia="Times New Roman" w:cstheme="minorHAnsi"/>
                <w:color w:val="000000" w:themeColor="text1"/>
                <w:sz w:val="20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16"/>
              </w:rPr>
              <w:t xml:space="preserve"> 2012</w:t>
            </w:r>
            <w:r w:rsidR="00716437" w:rsidRPr="00716437">
              <w:rPr>
                <w:rFonts w:eastAsia="Times New Roman" w:cstheme="minorHAnsi"/>
                <w:color w:val="000000" w:themeColor="text1"/>
                <w:sz w:val="20"/>
                <w:szCs w:val="16"/>
              </w:rPr>
              <w:t xml:space="preserve"> 402(g) Salary Deferral Limits</w:t>
            </w:r>
          </w:p>
        </w:tc>
        <w:tc>
          <w:tcPr>
            <w:tcW w:w="2756" w:type="dxa"/>
            <w:tcBorders>
              <w:top w:val="single" w:sz="4" w:space="0" w:color="8BB466"/>
              <w:left w:val="nil"/>
              <w:bottom w:val="single" w:sz="4" w:space="0" w:color="8BB466"/>
              <w:right w:val="single" w:sz="4" w:space="0" w:color="8BB466"/>
            </w:tcBorders>
            <w:vAlign w:val="center"/>
          </w:tcPr>
          <w:p w:rsidR="00716437" w:rsidRPr="00716437" w:rsidRDefault="001F6B55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>
              <w:rPr>
                <w:rFonts w:eastAsia="Times New Roman" w:cstheme="minorHAnsi"/>
                <w:sz w:val="20"/>
                <w:szCs w:val="16"/>
              </w:rPr>
              <w:t>*</w:t>
            </w:r>
            <w:r w:rsidR="00716437" w:rsidRPr="00716437">
              <w:rPr>
                <w:rFonts w:eastAsia="Times New Roman" w:cstheme="minorHAnsi"/>
                <w:sz w:val="20"/>
                <w:szCs w:val="16"/>
              </w:rPr>
              <w:t>$</w:t>
            </w:r>
            <w:r>
              <w:rPr>
                <w:rFonts w:eastAsia="Times New Roman" w:cstheme="minorHAnsi"/>
                <w:sz w:val="20"/>
                <w:szCs w:val="16"/>
              </w:rPr>
              <w:t>17</w:t>
            </w:r>
            <w:r w:rsidR="00716437" w:rsidRPr="00716437">
              <w:rPr>
                <w:rFonts w:eastAsia="Times New Roman" w:cstheme="minorHAnsi"/>
                <w:sz w:val="20"/>
                <w:szCs w:val="16"/>
              </w:rPr>
              <w:t>,000</w:t>
            </w:r>
          </w:p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>(Traditional + Roth)</w:t>
            </w:r>
          </w:p>
        </w:tc>
        <w:tc>
          <w:tcPr>
            <w:tcW w:w="2756" w:type="dxa"/>
            <w:tcBorders>
              <w:top w:val="single" w:sz="4" w:space="0" w:color="8BB466"/>
              <w:left w:val="single" w:sz="4" w:space="0" w:color="8BB466"/>
              <w:bottom w:val="single" w:sz="4" w:space="0" w:color="8BB466"/>
            </w:tcBorders>
            <w:vAlign w:val="center"/>
          </w:tcPr>
          <w:p w:rsidR="00716437" w:rsidRPr="00716437" w:rsidRDefault="001F6B55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>
              <w:rPr>
                <w:rFonts w:eastAsia="Times New Roman" w:cstheme="minorHAnsi"/>
                <w:sz w:val="20"/>
                <w:szCs w:val="16"/>
              </w:rPr>
              <w:t>*</w:t>
            </w:r>
            <w:r w:rsidR="00716437" w:rsidRPr="00716437">
              <w:rPr>
                <w:rFonts w:eastAsia="Times New Roman" w:cstheme="minorHAnsi"/>
                <w:sz w:val="20"/>
                <w:szCs w:val="16"/>
              </w:rPr>
              <w:t>$1</w:t>
            </w:r>
            <w:r>
              <w:rPr>
                <w:rFonts w:eastAsia="Times New Roman" w:cstheme="minorHAnsi"/>
                <w:sz w:val="20"/>
                <w:szCs w:val="16"/>
              </w:rPr>
              <w:t>7</w:t>
            </w:r>
            <w:r w:rsidR="00716437" w:rsidRPr="00716437">
              <w:rPr>
                <w:rFonts w:eastAsia="Times New Roman" w:cstheme="minorHAnsi"/>
                <w:sz w:val="20"/>
                <w:szCs w:val="16"/>
              </w:rPr>
              <w:t>,000</w:t>
            </w:r>
          </w:p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>(Traditional + Roth)</w:t>
            </w:r>
          </w:p>
        </w:tc>
      </w:tr>
      <w:tr w:rsidR="00716437" w:rsidRPr="00716437" w:rsidTr="00716437">
        <w:trPr>
          <w:trHeight w:val="256"/>
          <w:tblCellSpacing w:w="0" w:type="dxa"/>
          <w:jc w:val="center"/>
        </w:trPr>
        <w:tc>
          <w:tcPr>
            <w:tcW w:w="3293" w:type="dxa"/>
            <w:tcBorders>
              <w:top w:val="single" w:sz="4" w:space="0" w:color="8BB466"/>
              <w:bottom w:val="single" w:sz="4" w:space="0" w:color="8BB466"/>
              <w:right w:val="nil"/>
            </w:tcBorders>
            <w:shd w:val="clear" w:color="auto" w:fill="CEDFBF"/>
            <w:vAlign w:val="center"/>
          </w:tcPr>
          <w:p w:rsidR="00716437" w:rsidRPr="00716437" w:rsidRDefault="00211977" w:rsidP="001F6B55">
            <w:pPr>
              <w:ind w:left="0" w:right="0"/>
              <w:rPr>
                <w:rFonts w:eastAsia="Times New Roman" w:cstheme="minorHAnsi"/>
                <w:color w:val="000000" w:themeColor="text1"/>
                <w:sz w:val="20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16"/>
              </w:rPr>
              <w:t xml:space="preserve"> 2012</w:t>
            </w:r>
            <w:r w:rsidR="00716437" w:rsidRPr="00716437">
              <w:rPr>
                <w:rFonts w:eastAsia="Times New Roman" w:cstheme="minorHAnsi"/>
                <w:color w:val="000000" w:themeColor="text1"/>
                <w:sz w:val="20"/>
                <w:szCs w:val="16"/>
              </w:rPr>
              <w:t xml:space="preserve"> Catch-up Limit</w:t>
            </w:r>
          </w:p>
        </w:tc>
        <w:tc>
          <w:tcPr>
            <w:tcW w:w="2756" w:type="dxa"/>
            <w:tcBorders>
              <w:top w:val="single" w:sz="4" w:space="0" w:color="8BB466"/>
              <w:left w:val="nil"/>
              <w:bottom w:val="single" w:sz="4" w:space="0" w:color="8BB466"/>
              <w:right w:val="single" w:sz="4" w:space="0" w:color="8BB466"/>
            </w:tcBorders>
            <w:vAlign w:val="center"/>
          </w:tcPr>
          <w:p w:rsidR="00716437" w:rsidRPr="00716437" w:rsidRDefault="001F6B55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>
              <w:rPr>
                <w:rFonts w:eastAsia="Times New Roman" w:cstheme="minorHAnsi"/>
                <w:sz w:val="20"/>
                <w:szCs w:val="16"/>
              </w:rPr>
              <w:t>*</w:t>
            </w:r>
            <w:r w:rsidR="00716437" w:rsidRPr="00716437">
              <w:rPr>
                <w:rFonts w:eastAsia="Times New Roman" w:cstheme="minorHAnsi"/>
                <w:sz w:val="20"/>
                <w:szCs w:val="16"/>
              </w:rPr>
              <w:t>$5,</w:t>
            </w:r>
            <w:r>
              <w:rPr>
                <w:rFonts w:eastAsia="Times New Roman" w:cstheme="minorHAnsi"/>
                <w:sz w:val="20"/>
                <w:szCs w:val="16"/>
              </w:rPr>
              <w:t>5</w:t>
            </w:r>
            <w:r w:rsidR="00716437" w:rsidRPr="00716437">
              <w:rPr>
                <w:rFonts w:eastAsia="Times New Roman" w:cstheme="minorHAnsi"/>
                <w:sz w:val="20"/>
                <w:szCs w:val="16"/>
              </w:rPr>
              <w:t>00</w:t>
            </w:r>
          </w:p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>(Traditional + Roth)</w:t>
            </w:r>
          </w:p>
        </w:tc>
        <w:tc>
          <w:tcPr>
            <w:tcW w:w="2756" w:type="dxa"/>
            <w:tcBorders>
              <w:top w:val="single" w:sz="4" w:space="0" w:color="8BB466"/>
              <w:left w:val="single" w:sz="4" w:space="0" w:color="8BB466"/>
              <w:bottom w:val="single" w:sz="4" w:space="0" w:color="8BB466"/>
            </w:tcBorders>
            <w:vAlign w:val="center"/>
          </w:tcPr>
          <w:p w:rsidR="00716437" w:rsidRPr="00716437" w:rsidRDefault="001F6B55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>
              <w:rPr>
                <w:rFonts w:eastAsia="Times New Roman" w:cstheme="minorHAnsi"/>
                <w:sz w:val="20"/>
                <w:szCs w:val="16"/>
              </w:rPr>
              <w:t>*</w:t>
            </w:r>
            <w:r w:rsidR="00716437" w:rsidRPr="00716437">
              <w:rPr>
                <w:rFonts w:eastAsia="Times New Roman" w:cstheme="minorHAnsi"/>
                <w:sz w:val="20"/>
                <w:szCs w:val="16"/>
              </w:rPr>
              <w:t>$5,</w:t>
            </w:r>
            <w:r>
              <w:rPr>
                <w:rFonts w:eastAsia="Times New Roman" w:cstheme="minorHAnsi"/>
                <w:sz w:val="20"/>
                <w:szCs w:val="16"/>
              </w:rPr>
              <w:t>5</w:t>
            </w:r>
            <w:r w:rsidR="00211977">
              <w:rPr>
                <w:rFonts w:eastAsia="Times New Roman" w:cstheme="minorHAnsi"/>
                <w:sz w:val="20"/>
                <w:szCs w:val="16"/>
              </w:rPr>
              <w:t>00</w:t>
            </w:r>
          </w:p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>(Traditional + Roth)</w:t>
            </w:r>
          </w:p>
        </w:tc>
      </w:tr>
      <w:tr w:rsidR="00716437" w:rsidRPr="00716437" w:rsidTr="00716437">
        <w:trPr>
          <w:trHeight w:val="847"/>
          <w:tblCellSpacing w:w="0" w:type="dxa"/>
          <w:jc w:val="center"/>
        </w:trPr>
        <w:tc>
          <w:tcPr>
            <w:tcW w:w="3293" w:type="dxa"/>
            <w:tcBorders>
              <w:top w:val="single" w:sz="4" w:space="0" w:color="8BB466"/>
              <w:bottom w:val="single" w:sz="4" w:space="0" w:color="8BB466"/>
              <w:right w:val="nil"/>
            </w:tcBorders>
            <w:shd w:val="clear" w:color="auto" w:fill="CEDFBF"/>
            <w:vAlign w:val="center"/>
          </w:tcPr>
          <w:p w:rsidR="00716437" w:rsidRPr="00716437" w:rsidRDefault="00716437" w:rsidP="00716437">
            <w:pPr>
              <w:ind w:left="0" w:right="0"/>
              <w:rPr>
                <w:rFonts w:eastAsia="Times New Roman" w:cstheme="minorHAnsi"/>
                <w:color w:val="000000" w:themeColor="text1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color w:val="000000" w:themeColor="text1"/>
                <w:sz w:val="20"/>
                <w:szCs w:val="16"/>
              </w:rPr>
              <w:t xml:space="preserve"> Distribution Restrictions</w:t>
            </w:r>
          </w:p>
        </w:tc>
        <w:tc>
          <w:tcPr>
            <w:tcW w:w="2756" w:type="dxa"/>
            <w:tcBorders>
              <w:top w:val="single" w:sz="4" w:space="0" w:color="8BB466"/>
              <w:left w:val="nil"/>
              <w:bottom w:val="single" w:sz="4" w:space="0" w:color="8BB466"/>
              <w:right w:val="single" w:sz="4" w:space="0" w:color="8BB466"/>
            </w:tcBorders>
            <w:vAlign w:val="center"/>
          </w:tcPr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>Subject to 401(k) Rules,</w:t>
            </w:r>
          </w:p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>“qualified distribution”</w:t>
            </w:r>
          </w:p>
        </w:tc>
        <w:tc>
          <w:tcPr>
            <w:tcW w:w="2756" w:type="dxa"/>
            <w:tcBorders>
              <w:top w:val="single" w:sz="4" w:space="0" w:color="8BB466"/>
              <w:left w:val="single" w:sz="4" w:space="0" w:color="8BB466"/>
              <w:bottom w:val="single" w:sz="4" w:space="0" w:color="8BB466"/>
            </w:tcBorders>
            <w:vAlign w:val="center"/>
          </w:tcPr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>Subject to 401(k) Rules,</w:t>
            </w:r>
          </w:p>
          <w:p w:rsidR="00716437" w:rsidRPr="00716437" w:rsidRDefault="00716437" w:rsidP="00716437">
            <w:pPr>
              <w:ind w:left="0" w:right="0"/>
              <w:jc w:val="center"/>
              <w:rPr>
                <w:rFonts w:eastAsia="Times New Roman" w:cstheme="minorHAnsi"/>
                <w:sz w:val="20"/>
                <w:szCs w:val="16"/>
              </w:rPr>
            </w:pPr>
            <w:r w:rsidRPr="00716437">
              <w:rPr>
                <w:rFonts w:eastAsia="Times New Roman" w:cstheme="minorHAnsi"/>
                <w:sz w:val="20"/>
                <w:szCs w:val="16"/>
              </w:rPr>
              <w:t xml:space="preserve">“qualified distribution” AND </w:t>
            </w:r>
            <w:r w:rsidRPr="00716437">
              <w:rPr>
                <w:rFonts w:eastAsia="Times New Roman" w:cstheme="minorHAnsi"/>
                <w:sz w:val="20"/>
                <w:szCs w:val="16"/>
              </w:rPr>
              <w:br/>
              <w:t>Roth 401(k) account must be open for 5 tax years</w:t>
            </w:r>
          </w:p>
        </w:tc>
      </w:tr>
    </w:tbl>
    <w:p w:rsidR="001F6B55" w:rsidRDefault="001F6B55" w:rsidP="001D3569"/>
    <w:p w:rsidR="00897949" w:rsidRDefault="00897949" w:rsidP="001D3569"/>
    <w:p w:rsidR="001D3569" w:rsidRDefault="001D3569" w:rsidP="001D356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3841115</wp:posOffset>
            </wp:positionV>
            <wp:extent cx="941070" cy="955040"/>
            <wp:effectExtent l="19050" t="0" r="0" b="0"/>
            <wp:wrapNone/>
            <wp:docPr id="2" name="Picture 1" descr="401K ADVISORS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1K ADVISORS BLU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569">
        <w:t xml:space="preserve">In summary, Roth 401(k) contributions have potential to allow individuals more flexibility in saving for retirement, whereby giving investors more control over the taxable alternatives. </w:t>
      </w:r>
      <w:r w:rsidR="00211977">
        <w:t>[INSERT FIRM NAME]</w:t>
      </w:r>
      <w:r w:rsidRPr="001D3569">
        <w:t xml:space="preserve"> recommends a cautious approach when weighing the pros and cons</w:t>
      </w:r>
      <w:r w:rsidR="001F6B55">
        <w:t>.</w:t>
      </w:r>
    </w:p>
    <w:p w:rsidR="001D3569" w:rsidRDefault="001D3569" w:rsidP="001D3569"/>
    <w:p w:rsidR="00CE6B73" w:rsidRPr="00716437" w:rsidRDefault="001D3569" w:rsidP="001D3569">
      <w:r w:rsidRPr="001D3569">
        <w:t xml:space="preserve">Contact </w:t>
      </w:r>
      <w:r w:rsidR="00211977">
        <w:t>[INSERT FIRM NAME and PHONE NUMBER]</w:t>
      </w:r>
      <w:r w:rsidR="00211977" w:rsidRPr="001D3569">
        <w:t xml:space="preserve"> </w:t>
      </w:r>
      <w:r w:rsidRPr="001D3569">
        <w:t xml:space="preserve">for more information on Roth 401(k) and to better determine </w:t>
      </w:r>
      <w:r w:rsidR="00897949">
        <w:t>an appropriate course of action.</w:t>
      </w:r>
    </w:p>
    <w:sectPr w:rsidR="00CE6B73" w:rsidRPr="00716437" w:rsidSect="001F6B55">
      <w:footerReference w:type="default" r:id="rId11"/>
      <w:pgSz w:w="12240" w:h="15840"/>
      <w:pgMar w:top="1008" w:right="1008" w:bottom="1008" w:left="1008" w:header="720" w:footer="720" w:gutter="0"/>
      <w:pgBorders w:offsetFrom="page">
        <w:top w:val="dashDotStroked" w:sz="24" w:space="24" w:color="8BB466"/>
        <w:left w:val="dashDotStroked" w:sz="24" w:space="24" w:color="8BB466"/>
        <w:bottom w:val="dashDotStroked" w:sz="24" w:space="24" w:color="8BB466"/>
        <w:right w:val="dashDotStroked" w:sz="24" w:space="24" w:color="8BB4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55" w:rsidRDefault="001F6B55" w:rsidP="001F6B55">
      <w:r>
        <w:separator/>
      </w:r>
    </w:p>
  </w:endnote>
  <w:endnote w:type="continuationSeparator" w:id="0">
    <w:p w:rsidR="001F6B55" w:rsidRDefault="001F6B55" w:rsidP="001F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AA" w:rsidRPr="00A95778" w:rsidRDefault="00165696">
    <w:pPr>
      <w:pStyle w:val="Footer"/>
      <w:rPr>
        <w:color w:val="4D4D4D"/>
        <w:sz w:val="16"/>
      </w:rPr>
    </w:pPr>
    <w:r>
      <w:rPr>
        <w:color w:val="4D4D4D"/>
        <w:sz w:val="16"/>
      </w:rPr>
      <w:t>RPAG-2012-45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55" w:rsidRDefault="001F6B55" w:rsidP="001F6B55">
      <w:r>
        <w:separator/>
      </w:r>
    </w:p>
  </w:footnote>
  <w:footnote w:type="continuationSeparator" w:id="0">
    <w:p w:rsidR="001F6B55" w:rsidRDefault="001F6B55" w:rsidP="001F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257C"/>
    <w:multiLevelType w:val="hybridMultilevel"/>
    <w:tmpl w:val="7570D82C"/>
    <w:lvl w:ilvl="0" w:tplc="8EAE2F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67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ADA1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E0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02C0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C47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82C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C54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00A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D5B09"/>
    <w:multiLevelType w:val="hybridMultilevel"/>
    <w:tmpl w:val="6734B196"/>
    <w:lvl w:ilvl="0" w:tplc="5F12D3AE">
      <w:start w:val="1"/>
      <w:numFmt w:val="bullet"/>
      <w:lvlText w:val="w"/>
      <w:lvlJc w:val="left"/>
      <w:pPr>
        <w:ind w:left="821" w:hanging="360"/>
      </w:pPr>
      <w:rPr>
        <w:rFonts w:ascii="Wingdings" w:hAnsi="Wingdings" w:hint="default"/>
        <w:color w:val="8BB466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4CF526B0"/>
    <w:multiLevelType w:val="hybridMultilevel"/>
    <w:tmpl w:val="F1AC04B6"/>
    <w:lvl w:ilvl="0" w:tplc="C52E10D4">
      <w:start w:val="1"/>
      <w:numFmt w:val="bullet"/>
      <w:lvlText w:val="w"/>
      <w:lvlJc w:val="left"/>
      <w:pPr>
        <w:ind w:left="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37"/>
    <w:rsid w:val="00165696"/>
    <w:rsid w:val="001D3569"/>
    <w:rsid w:val="001F3F13"/>
    <w:rsid w:val="001F6B55"/>
    <w:rsid w:val="00211977"/>
    <w:rsid w:val="00353FC8"/>
    <w:rsid w:val="003929AB"/>
    <w:rsid w:val="00427939"/>
    <w:rsid w:val="00454CD8"/>
    <w:rsid w:val="006229E1"/>
    <w:rsid w:val="00647EAA"/>
    <w:rsid w:val="007116CB"/>
    <w:rsid w:val="00716437"/>
    <w:rsid w:val="00756E1A"/>
    <w:rsid w:val="007C4D0C"/>
    <w:rsid w:val="00897949"/>
    <w:rsid w:val="008A118B"/>
    <w:rsid w:val="009A3B9B"/>
    <w:rsid w:val="00A95778"/>
    <w:rsid w:val="00C7203D"/>
    <w:rsid w:val="00C9226A"/>
    <w:rsid w:val="00CE6B73"/>
    <w:rsid w:val="00EA7FF6"/>
    <w:rsid w:val="00F12790"/>
    <w:rsid w:val="00F8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A4D5C3-8B09-40A8-B1DF-27BF60E5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6437"/>
    <w:pPr>
      <w:tabs>
        <w:tab w:val="center" w:pos="4320"/>
        <w:tab w:val="right" w:pos="8640"/>
      </w:tabs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164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0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F6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259">
          <w:marLeft w:val="36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837">
          <w:marLeft w:val="198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8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927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768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131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748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257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570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9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47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ection xmlns="caf8354a-fcf2-497b-af4f-8f7cd8efc73a">Participant Memos</Section>
    <Page xmlns="caf8354a-fcf2-497b-af4f-8f7cd8efc73a">Participant Services</Page>
    <SeparatePage_x003f_ xmlns="caf8354a-fcf2-497b-af4f-8f7cd8efc73a">English</SeparatePage_x003f_>
    <Quarter xmlns="caf8354a-fcf2-497b-af4f-8f7cd8efc73a" xsi:nil="true"/>
    <Year xmlns="caf8354a-fcf2-497b-af4f-8f7cd8efc7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FFBA48AEE7E4D9A926E9E2FB8C7FF" ma:contentTypeVersion="5" ma:contentTypeDescription="Create a new document." ma:contentTypeScope="" ma:versionID="5e3dda8cde661a9653e99fbdbef855ef">
  <xsd:schema xmlns:xsd="http://www.w3.org/2001/XMLSchema" xmlns:p="http://schemas.microsoft.com/office/2006/metadata/properties" xmlns:ns2="caf8354a-fcf2-497b-af4f-8f7cd8efc73a" targetNamespace="http://schemas.microsoft.com/office/2006/metadata/properties" ma:root="true" ma:fieldsID="508f5c7d3306ad7e2bd24f7ca4177a55" ns2:_="">
    <xsd:import namespace="caf8354a-fcf2-497b-af4f-8f7cd8efc73a"/>
    <xsd:element name="properties">
      <xsd:complexType>
        <xsd:sequence>
          <xsd:element name="documentManagement">
            <xsd:complexType>
              <xsd:all>
                <xsd:element ref="ns2:Page"/>
                <xsd:element ref="ns2:Quarter" minOccurs="0"/>
                <xsd:element ref="ns2:Section" minOccurs="0"/>
                <xsd:element ref="ns2:SeparatePage_x003f_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af8354a-fcf2-497b-af4f-8f7cd8efc73a" elementFormDefault="qualified">
    <xsd:import namespace="http://schemas.microsoft.com/office/2006/documentManagement/types"/>
    <xsd:element name="Page" ma:index="8" ma:displayName="Page" ma:format="Dropdown" ma:internalName="Page">
      <xsd:simpleType>
        <xsd:restriction base="dms:Choice">
          <xsd:enumeration value="Sales and Marketing"/>
          <xsd:enumeration value="Servicing Your Clients"/>
          <xsd:enumeration value="Investment Due Diligence"/>
          <xsd:enumeration value="RFP and Fee Benchmarking"/>
          <xsd:enumeration value="Fiduciary Compliance and Plan Design"/>
          <xsd:enumeration value="Participant Services"/>
        </xsd:restriction>
      </xsd:simpleType>
    </xsd:element>
    <xsd:element name="Quarter" ma:index="9" nillable="true" ma:displayName="Quarter" ma:format="Dropdown" ma:internalName="Quarter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Section" ma:index="10" nillable="true" ma:displayName="Section" ma:default="Articles &amp; Information" ma:format="Dropdown" ma:internalName="Section">
      <xsd:simpleType>
        <xsd:restriction base="dms:Choice">
          <xsd:enumeration value="Annual Conference"/>
          <xsd:enumeration value="Articles &amp; Information"/>
          <xsd:enumeration value="Client Presentations"/>
          <xsd:enumeration value="Client Templates"/>
          <xsd:enumeration value="Fiduciary Fitness Program"/>
          <xsd:enumeration value="Internal Checklists &amp; Forms"/>
          <xsd:enumeration value="Internal Staff Checklists"/>
          <xsd:enumeration value="Materials &amp; Resources"/>
          <xsd:enumeration value="Non-Qualified"/>
          <xsd:enumeration value="Participant Memos"/>
          <xsd:enumeration value="Participant Presentations"/>
          <xsd:enumeration value="Participant Templates"/>
          <xsd:enumeration value="Practice Management Resources"/>
          <xsd:enumeration value="Press Release"/>
          <xsd:enumeration value="Prospect Presentations"/>
          <xsd:enumeration value="Prospect Templates"/>
          <xsd:enumeration value="Sales Briefcase"/>
          <xsd:enumeration value="Sample Deliverables"/>
          <xsd:enumeration value="Training"/>
        </xsd:restriction>
      </xsd:simpleType>
    </xsd:element>
    <xsd:element name="SeparatePage_x003f_" ma:index="11" nillable="true" ma:displayName="SeparatePage?" ma:default="None" ma:format="Dropdown" ma:internalName="SeparatePage_x003F_">
      <xsd:simpleType>
        <xsd:restriction base="dms:Choice">
          <xsd:enumeration value="None"/>
          <xsd:enumeration value="Advisor Focused"/>
          <xsd:enumeration value="Education Modules"/>
          <xsd:enumeration value="Employer Newsletter"/>
          <xsd:enumeration value="English"/>
          <xsd:enumeration value="IMPACT Newsletter"/>
          <xsd:enumeration value="Investment Policy Statement"/>
          <xsd:enumeration value="Meeting Summary Templates"/>
          <xsd:enumeration value="Report Covers"/>
          <xsd:enumeration value="Quarterly Market and Investment Update"/>
          <xsd:enumeration value="Quarterly Market Summary"/>
          <xsd:enumeration value="Spanish"/>
          <xsd:enumeration value="Staff Focused"/>
          <xsd:enumeration value="Quarterly Legislative Update"/>
        </xsd:restriction>
      </xsd:simpleType>
    </xsd:element>
    <xsd:element name="Year" ma:index="12" nillable="true" ma:displayName="Year" ma:decimals="0" ma:internalName="Year">
      <xsd:simpleType>
        <xsd:restriction base="dms:Number">
          <xsd:maxInclusive value="2020"/>
          <xsd:minInclusive value="199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1722336-9068-4544-B624-93442A2DF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B37BC-1A6D-4287-9537-A27805FD8430}">
  <ds:schemaRefs>
    <ds:schemaRef ds:uri="caf8354a-fcf2-497b-af4f-8f7cd8efc73a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095BEDF-20EA-40AA-A635-5844D04C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8354a-fcf2-497b-af4f-8f7cd8efc73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Roth 401(k)</vt:lpstr>
    </vt:vector>
  </TitlesOfParts>
  <Company>401K Advisors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Roth 401(k)</dc:title>
  <dc:creator>kviljak</dc:creator>
  <cp:lastModifiedBy>Tim Caldwell</cp:lastModifiedBy>
  <cp:revision>2</cp:revision>
  <dcterms:created xsi:type="dcterms:W3CDTF">2014-03-13T15:29:00Z</dcterms:created>
  <dcterms:modified xsi:type="dcterms:W3CDTF">2014-03-13T15:29:00Z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0x010100405FFBA48AEE7E4D9A926E9E2FB8C7FF</vt:lpwstr>
  </property>
</Properties>
</file>